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根据《关于2021年市本级部门预算的批复》（乌财社〔2021〕19号），2021年全民参保及医疗服务经费是追加预算项目，对医保业务档案实现全面的数字化，有效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保惠民的知晓率有很大的提高，群众的参保自觉性进一步提高，对于实现全民参保有巨大的现实意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经乌财社〔2021〕34号文件批准，该项目资金得以保障，项目计划实施期限为一年，具体为2021年。项目系2021年预算内资金，共安排资金42.8万元，为2021年年中追加资金，预算数为42.8万元，资金实际到位数为30万元，全年执行数30万元，年中没有对资金进行调增、调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谁申请资金，谁编制目标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default" w:ascii="Times New Roman" w:hAnsi="Times New Roman" w:eastAsia="方正仿宋_GBK" w:cs="Times New Roman"/>
          <w:b w:val="0"/>
          <w:bCs/>
          <w:spacing w:val="-4"/>
          <w:sz w:val="32"/>
          <w:szCs w:val="32"/>
        </w:rPr>
        <w:cr/>
      </w:r>
      <w:r>
        <w:rPr>
          <w:rStyle w:val="18"/>
          <w:rFonts w:hint="default" w:ascii="Times New Roman" w:hAnsi="Times New Roman" w:eastAsia="方正仿宋_GBK" w:cs="Times New Roman"/>
          <w:b w:val="0"/>
          <w:bCs/>
          <w:spacing w:val="-4"/>
          <w:sz w:val="32"/>
          <w:szCs w:val="32"/>
        </w:rPr>
        <w:t>该项目绩效目标设置期一年，以提高为民服务质量，社会保险经办机构服务水平明显提高，使国家社保惠民的知晓率有很大的提高，群众的参保自觉性进一步提高。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1.评价目的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2.评价对象和范围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（1）绩效评价的对象：2021年全民参保及医疗服务经费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（2）绩效评价范围：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1.项目范围：2021年全民参保及医疗服务经费的完成情况、资金投入的运行情况、项目实施后产生的绩效及影响效果。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2.时间范围：2021年1月1日至2021年12月31日。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1.评价原则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（1）在数据收集时，采取客观数据，并结合问卷调查结果，以保证各项指标的真实性。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（3）绩效评价报告应当简明扼要，除了对绩效评价的过程、结果描述外，还应总结经验，指出问题，并就项目实施过程中所存在的问题提出可操作性改进建议。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2.评价指标体系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绩效评价指标体系作为衡量绩效目标实现程度的考核工具，一般遵循以下原则：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（1）相关性原则：绩效评价指标应当与绩效目标有直接的联系，能够恰当反映目标的实现程度。</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（2）重要性原则：应当优先使用最具评价对象代表性、最能反映评价要求的核心指标。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（3）可比性原则：对同类评价对象要设定共性的绩效评价指标，以便于评价结果可以相互比较。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（4）系统性原则：绩效评价指标的设置应当将定量指标与定性指标相结合，能系统反映财政支出所产生的社会效益、经济效益和可持续影响等。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（5）经济性原则：绩效评价指标设计应当通俗易懂、简便易行，数据的获得应当考虑现实条件和可操作性，符合成本效益原则。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本项目的评价指标体系建立如附件所示。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《关于印发&lt;项目支出绩效评价管理办法&gt;的通知》（财预〔2020〕10号）文件指出部门评价的方法主要包括成本效益分析法、比较法、因素分析法、最低成本法、公众评判法、标杆管理法等。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（4）最低成本法。是指在绩效目标确定的前提下，成本最小者为优的方法。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（5）公众评判法。是指通过专家评估、公众问卷及抽样调查等方式进行评判的方法。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（6）标杆管理法。是指以国内外同行业中较高的绩效水平为标杆进行评判的方法。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（7）其他评价方法。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根据本项目（2021年全民参保及医疗服务经费）的特点，本次评价主要采用比较法和公众评判法，对项目总预算和明细预算的内容、标准、计划是否经济合理进行深入分析，以考察实际产出和效益是否达到预期。</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《关于印发&lt;乌鲁木齐市本级部门预算绩效目标管理暂行办法&gt;的通知》（乌财预〔2018〕56号）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《关于做好2019年部门预算项目支出绩效目标管理有关事宜的通知》（乌财预〔2018〕76号）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结合项目特点，制定符合项目实际的绩效评价指标体系及评分标准，通过数据采集、问卷调查及访谈等形式，对2021年全民参保及医疗服务经费进行客观评价，最终评分结果为：总分为98.5分，绩效评级为</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优</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参考《关于印发&lt;项目支出绩效评价管理办法&gt;的通知》（财预〔2020〕10号）中的规定，本次绩效评价结果实施百分制和四级分类，其中90（含）-100分为优、80（含）-90分为良、60（含）-80分为中、60分以下为差。]。</w:t>
      </w:r>
      <w:r>
        <w:rPr>
          <w:rStyle w:val="18"/>
          <w:rFonts w:hint="default" w:ascii="Times New Roman" w:hAnsi="Times New Roman" w:eastAsia="方正仿宋_GBK" w:cs="Times New Roman"/>
          <w:b w:val="0"/>
          <w:bCs/>
          <w:spacing w:val="-4"/>
          <w:sz w:val="32"/>
          <w:szCs w:val="32"/>
        </w:rPr>
        <w:cr/>
      </w:r>
      <w:r>
        <w:rPr>
          <w:rStyle w:val="18"/>
          <w:rFonts w:hint="default" w:ascii="Times New Roman" w:hAnsi="Times New Roman" w:eastAsia="方正仿宋_GBK" w:cs="Times New Roman"/>
          <w:b w:val="0"/>
          <w:bCs/>
          <w:spacing w:val="-4"/>
          <w:sz w:val="32"/>
          <w:szCs w:val="32"/>
        </w:rPr>
        <w:t>项目各部分权重和绩效分值如附表所示。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（二）主要绩效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该项目资金财政及时拨付，单位在此次评价期间内，有序完成设定目标的工作任务，对医保业务档案实现全面的数字化，有效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保惠民的知晓率有很大的提高，群众的参保自觉性进一步提高，对于实现全民参保有巨大的现实意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z w:val="32"/>
          <w:szCs w:val="32"/>
        </w:rPr>
      </w:pPr>
      <w:r>
        <w:rPr>
          <w:rStyle w:val="18"/>
          <w:rFonts w:hint="default" w:ascii="Times New Roman" w:hAnsi="Times New Roman" w:eastAsia="方正仿宋_GBK" w:cs="Times New Roman"/>
          <w:b w:val="0"/>
          <w:bCs/>
          <w:spacing w:val="-4"/>
          <w:sz w:val="32"/>
          <w:szCs w:val="32"/>
        </w:rPr>
        <w:t>四、绩效评价指标分析</w:t>
      </w:r>
      <w:r>
        <w:rPr>
          <w:rStyle w:val="18"/>
          <w:rFonts w:hint="default" w:ascii="Times New Roman" w:hAnsi="Times New Roman" w:eastAsia="方正仿宋_GBK" w:cs="Times New Roman"/>
          <w:b w:val="0"/>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Fonts w:hint="default" w:ascii="Times New Roman" w:hAnsi="Times New Roman" w:eastAsia="方正仿宋_GBK" w:cs="Times New Roman"/>
          <w:b w:val="0"/>
          <w:bCs/>
          <w:spacing w:val="-4"/>
          <w:sz w:val="32"/>
          <w:szCs w:val="32"/>
        </w:rPr>
      </w:pPr>
      <w:r>
        <w:rPr>
          <w:rFonts w:hint="default" w:ascii="Times New Roman" w:hAnsi="Times New Roman" w:eastAsia="方正仿宋_GBK" w:cs="Times New Roman"/>
          <w:b w:val="0"/>
          <w:bCs/>
          <w:spacing w:val="-4"/>
          <w:sz w:val="32"/>
          <w:szCs w:val="32"/>
        </w:rPr>
        <w:t>（一）</w:t>
      </w:r>
      <w:r>
        <w:rPr>
          <w:rStyle w:val="18"/>
          <w:rFonts w:hint="default" w:ascii="Times New Roman" w:hAnsi="Times New Roman" w:eastAsia="方正仿宋_GBK" w:cs="Times New Roman"/>
          <w:b w:val="0"/>
          <w:bCs/>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项目决算指标由3个二级指标和6个三级指标构成，权重为20分，实际得分20分。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1.项目立项</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立项程序规范性: 项目按照规定的程序申请设立，审批文件、材料符合相关要求，故立项程序规范，得4分。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综上，该指标满分8分，得分8分。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2.绩效目标</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绩效目标明确性：对医保业务档案实现全面的数字化，有效提高两定机构医疗保险服务质量、规范医疗服务行为、保障参保人员权益、提升基金使用效率、规范协议管理等工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综上，该指标满分6分，得分6分。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3.资金投入</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预算编制科学性：依据地方基本医疗保险及生育保险参保人数比例拨付相关款项。故预算编制科学性指标得分3分。</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left="0" w:leftChars="0" w:firstLine="639" w:firstLineChars="205"/>
        <w:jc w:val="both"/>
        <w:textAlignment w:val="auto"/>
        <w:rPr>
          <w:rStyle w:val="18"/>
          <w:rFonts w:hint="default" w:ascii="Times New Roman" w:hAnsi="Times New Roman" w:eastAsia="方正仿宋_GBK" w:cs="Times New Roman"/>
          <w:b w:val="0"/>
          <w:bCs/>
          <w:spacing w:val="-4"/>
          <w:sz w:val="32"/>
          <w:szCs w:val="32"/>
          <w:lang w:eastAsia="zh-CN"/>
        </w:rPr>
      </w:pPr>
      <w:r>
        <w:rPr>
          <w:rStyle w:val="18"/>
          <w:rFonts w:hint="default" w:ascii="Times New Roman" w:hAnsi="Times New Roman" w:eastAsia="方正仿宋_GBK" w:cs="Times New Roman"/>
          <w:b w:val="0"/>
          <w:bCs/>
          <w:spacing w:val="-4"/>
          <w:sz w:val="32"/>
          <w:szCs w:val="32"/>
        </w:rPr>
        <w:t>资金分配合理性：依据地方基本医疗保险及生育保险参保人数比例拨付相关款项。故资金分配合理性指标得分3分。</w:t>
      </w:r>
      <w:r>
        <w:rPr>
          <w:rStyle w:val="18"/>
          <w:rFonts w:hint="default" w:ascii="Times New Roman" w:hAnsi="Times New Roman" w:eastAsia="方正仿宋_GBK" w:cs="Times New Roman"/>
          <w:b w:val="0"/>
          <w:bCs/>
          <w:spacing w:val="-4"/>
          <w:sz w:val="32"/>
          <w:szCs w:val="32"/>
        </w:rPr>
        <w:cr/>
      </w:r>
      <w:r>
        <w:rPr>
          <w:rStyle w:val="18"/>
          <w:rFonts w:hint="default" w:ascii="Times New Roman" w:hAnsi="Times New Roman" w:eastAsia="方正仿宋_GBK" w:cs="Times New Roman"/>
          <w:b w:val="0"/>
          <w:bCs/>
          <w:spacing w:val="-4"/>
          <w:sz w:val="32"/>
          <w:szCs w:val="32"/>
        </w:rPr>
        <w:t>综上，该指标满分6分，得分6分。</w:t>
      </w:r>
      <w:r>
        <w:rPr>
          <w:rStyle w:val="18"/>
          <w:rFonts w:hint="default" w:ascii="Times New Roman" w:hAnsi="Times New Roman" w:eastAsia="方正仿宋_GBK" w:cs="Times New Roman"/>
          <w:b w:val="0"/>
          <w:bCs/>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Fonts w:hint="default" w:ascii="Times New Roman" w:hAnsi="Times New Roman" w:eastAsia="方正仿宋_GBK" w:cs="Times New Roman"/>
          <w:b w:val="0"/>
          <w:bCs/>
          <w:spacing w:val="-4"/>
          <w:sz w:val="32"/>
          <w:szCs w:val="32"/>
        </w:rPr>
        <w:t>（</w:t>
      </w:r>
      <w:r>
        <w:rPr>
          <w:rFonts w:hint="default" w:ascii="Times New Roman" w:hAnsi="Times New Roman" w:eastAsia="方正仿宋_GBK" w:cs="Times New Roman"/>
          <w:b w:val="0"/>
          <w:bCs/>
          <w:spacing w:val="-4"/>
          <w:sz w:val="32"/>
          <w:szCs w:val="32"/>
          <w:lang w:val="en-US" w:eastAsia="zh-CN"/>
        </w:rPr>
        <w:t>二</w:t>
      </w:r>
      <w:r>
        <w:rPr>
          <w:rFonts w:hint="default" w:ascii="Times New Roman" w:hAnsi="Times New Roman" w:eastAsia="方正仿宋_GBK" w:cs="Times New Roman"/>
          <w:b w:val="0"/>
          <w:bCs/>
          <w:spacing w:val="-4"/>
          <w:sz w:val="32"/>
          <w:szCs w:val="32"/>
        </w:rPr>
        <w:t>）</w:t>
      </w:r>
      <w:r>
        <w:rPr>
          <w:rStyle w:val="18"/>
          <w:rFonts w:hint="default" w:ascii="Times New Roman" w:hAnsi="Times New Roman" w:eastAsia="方正仿宋_GBK" w:cs="Times New Roman"/>
          <w:b w:val="0"/>
          <w:bCs/>
          <w:spacing w:val="-4"/>
          <w:sz w:val="32"/>
          <w:szCs w:val="32"/>
        </w:rPr>
        <w:t>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项目过程指标由2个二级指标和5个三级指标构成，权重为20分，实际得分18.5分。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1.资金管理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资金到位率：该项目资金为自治区转移支付资金，收到自治区30万元，截至2021年年末，共计拨付资金30万元，故资金到位率为100%,该项指标得分为5分。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预算执行率：该项目预算资金42.8万元,收到拨付资金30万元,剩余资金结转至下年使用。项目资金分别于8月购买键盘鼠标支付天山区中山路华天瑞达电子产品经销部0.1万元货款；12月购买硒鼓墨盒支付乌鲁木齐市依源电子有限公司14.9万元货款，12月月支付乌鲁木齐广播电视台（乌鲁木齐广播电视集团）15万元广播宣传费用。故预算执行率为70%,该项指标得分为3.5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综上，该指标满分13分，得分11.5分。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管理制度健全性：乌鲁木齐市医疗保障局已制定相应的财务和业务管理制度，且制度合法、合规、完整，为项目顺利实施提供重要保障。故管理制度健全性得分为3分。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制度执行有效性：根据现场调研和资料抽查情况，乌鲁木齐市医疗保障局严格遵守相关法律法规和相关管理规定，项目调整及支出调整手续完备，整体管理合理有序，项目完成后，及时将会计凭证、固定资产入库单等相关资料分类归档，制度执行有效。故制度执行有效性指标得分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综上，该指标满分7分，得分7分。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Fonts w:hint="default" w:ascii="Times New Roman" w:hAnsi="Times New Roman" w:eastAsia="方正仿宋_GBK" w:cs="Times New Roman"/>
          <w:b w:val="0"/>
          <w:bCs/>
          <w:spacing w:val="-4"/>
          <w:sz w:val="32"/>
          <w:szCs w:val="32"/>
        </w:rPr>
      </w:pPr>
      <w:r>
        <w:rPr>
          <w:rFonts w:hint="default" w:ascii="Times New Roman" w:hAnsi="Times New Roman" w:eastAsia="方正仿宋_GBK" w:cs="Times New Roman"/>
          <w:b w:val="0"/>
          <w:bCs/>
          <w:spacing w:val="-4"/>
          <w:sz w:val="32"/>
          <w:szCs w:val="32"/>
        </w:rPr>
        <w:t>（</w:t>
      </w:r>
      <w:r>
        <w:rPr>
          <w:rFonts w:hint="default" w:ascii="Times New Roman" w:hAnsi="Times New Roman" w:eastAsia="方正仿宋_GBK" w:cs="Times New Roman"/>
          <w:b w:val="0"/>
          <w:bCs/>
          <w:spacing w:val="-4"/>
          <w:sz w:val="32"/>
          <w:szCs w:val="32"/>
          <w:lang w:val="en-US" w:eastAsia="zh-CN"/>
        </w:rPr>
        <w:t>三</w:t>
      </w:r>
      <w:r>
        <w:rPr>
          <w:rFonts w:hint="default" w:ascii="Times New Roman" w:hAnsi="Times New Roman" w:eastAsia="方正仿宋_GBK" w:cs="Times New Roman"/>
          <w:b w:val="0"/>
          <w:bCs/>
          <w:spacing w:val="-4"/>
          <w:sz w:val="32"/>
          <w:szCs w:val="32"/>
        </w:rPr>
        <w:t>）</w:t>
      </w:r>
      <w:r>
        <w:rPr>
          <w:rStyle w:val="18"/>
          <w:rFonts w:hint="default" w:ascii="Times New Roman" w:hAnsi="Times New Roman" w:eastAsia="方正仿宋_GBK" w:cs="Times New Roman"/>
          <w:b w:val="0"/>
          <w:bCs/>
          <w:spacing w:val="-4"/>
          <w:sz w:val="32"/>
          <w:szCs w:val="32"/>
        </w:rPr>
        <w:t>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项目产出指标由4个二级指标和8个三级指标构成，权重为40分，实际得分40分。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1.产出数量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数量指标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基本医疗保险参保人数</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的目标值是≥239万人，2021年度我单位实际完成239万人，实际完成率100%，故实际完成率得分为2分。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数量指标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生育保险参保人数</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的目标值是≥82万人，2021年度我单位实际完成82万人，实际完成率100%，故实际完成率得分为3分。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数量指标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基本医疗保险参保率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的目标值是≥95%，2021年度我单位实际完成95%，实际完成率100%，故实际完成率得分为5分。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2.产出质量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质量指标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2019年重复参保人数</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的目标值为=0人，乌鲁木齐市2019年重复参保人数为0人，质量达标率100%，故质量达标率得分为5分。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质量指标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2019年虚报参保人数</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的目标值为=0人，乌鲁木齐市2019年虚报参保人数为0人，质量达标率100%，故质量达标率得分为5分。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3.产出时效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完成及时性：每季度结束后的，15日内报送各项社会保险基金季报数据及分析，每年度结束后的，20日内报送各项社会保险基金决算数据及分析。故完成及时性得分为10分。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4.产出成本</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2021年全民参保及医疗服务经费成本≤42.8万元，截至2021年年末，共计支付资金30万元，故得分为10分。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综上，该指标满分40分，得分40分。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Fonts w:hint="default" w:ascii="Times New Roman" w:hAnsi="Times New Roman" w:eastAsia="方正仿宋_GBK" w:cs="Times New Roman"/>
          <w:b w:val="0"/>
          <w:bCs/>
          <w:spacing w:val="-4"/>
          <w:sz w:val="32"/>
          <w:szCs w:val="32"/>
        </w:rPr>
      </w:pPr>
      <w:r>
        <w:rPr>
          <w:rFonts w:hint="default" w:ascii="Times New Roman" w:hAnsi="Times New Roman" w:eastAsia="方正仿宋_GBK" w:cs="Times New Roman"/>
          <w:b w:val="0"/>
          <w:bCs/>
          <w:spacing w:val="-4"/>
          <w:sz w:val="32"/>
          <w:szCs w:val="32"/>
        </w:rPr>
        <w:t>（</w:t>
      </w:r>
      <w:r>
        <w:rPr>
          <w:rFonts w:hint="default" w:ascii="Times New Roman" w:hAnsi="Times New Roman" w:eastAsia="方正仿宋_GBK" w:cs="Times New Roman"/>
          <w:b w:val="0"/>
          <w:bCs/>
          <w:spacing w:val="-4"/>
          <w:sz w:val="32"/>
          <w:szCs w:val="32"/>
          <w:lang w:val="en-US" w:eastAsia="zh-CN"/>
        </w:rPr>
        <w:t>四</w:t>
      </w:r>
      <w:r>
        <w:rPr>
          <w:rFonts w:hint="default" w:ascii="Times New Roman" w:hAnsi="Times New Roman" w:eastAsia="方正仿宋_GBK" w:cs="Times New Roman"/>
          <w:b w:val="0"/>
          <w:bCs/>
          <w:spacing w:val="-4"/>
          <w:sz w:val="32"/>
          <w:szCs w:val="32"/>
        </w:rPr>
        <w:t>）</w:t>
      </w:r>
      <w:r>
        <w:rPr>
          <w:rStyle w:val="18"/>
          <w:rFonts w:hint="default" w:ascii="Times New Roman" w:hAnsi="Times New Roman" w:eastAsia="方正仿宋_GBK" w:cs="Times New Roman"/>
          <w:b w:val="0"/>
          <w:bCs/>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项目效益指标由2个二级指标和2个三级指标构成，权重为20分，实际得分20分。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1.项目效益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（1）实施效益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经济效益指标：不适用。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社会效益指标：评价指标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减轻参保人员就医经济负担，缓解社会矛盾</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，指标值：全年持续实施，实际完成值：全年持续实施。有效提高两定机构医疗保险服务质量、规范医疗服务行为、保障参保人员权益、提升基金使用效率、规范协议管理。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生态效益指标：不适用。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可持续影响指标：不适用。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本项目预算执行率为100%，指标总体完成率为98.57%，二者之间的偏差值为1.43%，小于20%。因此，本项目较好地完成了年度总体目标，财政资金使用效益和效率较高。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1.按照</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谁申请资金、谁编制目标</w:t>
      </w:r>
      <w:r>
        <w:rPr>
          <w:rStyle w:val="18"/>
          <w:rFonts w:hint="eastAsia" w:eastAsia="方正仿宋_GBK" w:cs="Times New Roman"/>
          <w:b w:val="0"/>
          <w:bCs/>
          <w:spacing w:val="-4"/>
          <w:sz w:val="32"/>
          <w:szCs w:val="32"/>
          <w:lang w:eastAsia="zh-CN"/>
        </w:rPr>
        <w:t>”</w:t>
      </w:r>
      <w:r>
        <w:rPr>
          <w:rStyle w:val="18"/>
          <w:rFonts w:hint="default" w:ascii="Times New Roman" w:hAnsi="Times New Roman" w:eastAsia="方正仿宋_GBK" w:cs="Times New Roman"/>
          <w:b w:val="0"/>
          <w:bCs/>
          <w:spacing w:val="-4"/>
          <w:sz w:val="32"/>
          <w:szCs w:val="32"/>
        </w:rPr>
        <w:t>的原则，全面实施绩效管理，内部相互制约、相互监督，编制绩效目标反映预算资金的预期产出和效果并以相应的绩效指标予以细化、量化描述。</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2.将项目执行情况定期反馈各科室，督促按照工作实际情况及时支付款项，避免集中年底支付。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项目预算数为42.8万元，因财力紧张，财政实际拨付资金30万元，剩余12.8万元资金结转至下年度使用。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lang w:val="en-US" w:eastAsia="zh-CN"/>
        </w:rPr>
        <w:t>七</w:t>
      </w:r>
      <w:r>
        <w:rPr>
          <w:rStyle w:val="18"/>
          <w:rFonts w:hint="default" w:ascii="Times New Roman" w:hAnsi="Times New Roman" w:eastAsia="方正仿宋_GBK" w:cs="Times New Roman"/>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1.项目支出政策和路径设计科学，符合实际需要；</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2.项目安排准确，未发现背离项目立项初衷的情况；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3.项目的申报、审核机制完善；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bookmarkStart w:id="0" w:name="_GoBack"/>
      <w:bookmarkEnd w:id="0"/>
      <w:r>
        <w:rPr>
          <w:rStyle w:val="18"/>
          <w:rFonts w:hint="default" w:ascii="Times New Roman" w:hAnsi="Times New Roman" w:eastAsia="方正仿宋_GBK" w:cs="Times New Roman"/>
          <w:b w:val="0"/>
          <w:bCs/>
          <w:spacing w:val="-4"/>
          <w:sz w:val="32"/>
          <w:szCs w:val="32"/>
        </w:rPr>
        <w:t>4.未发现虚假行为和骗取财政资金的问题。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lang w:val="en-US" w:eastAsia="zh-CN"/>
        </w:rPr>
        <w:t>八</w:t>
      </w:r>
      <w:r>
        <w:rPr>
          <w:rStyle w:val="18"/>
          <w:rFonts w:hint="default" w:ascii="Times New Roman" w:hAnsi="Times New Roman" w:eastAsia="方正仿宋_GBK" w:cs="Times New Roman"/>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18"/>
          <w:rFonts w:hint="default" w:ascii="Times New Roman" w:hAnsi="Times New Roman" w:eastAsia="方正仿宋_GBK" w:cs="Times New Roman"/>
          <w:b w:val="0"/>
          <w:bCs/>
          <w:spacing w:val="-4"/>
          <w:sz w:val="32"/>
          <w:szCs w:val="32"/>
        </w:rPr>
      </w:pPr>
      <w:r>
        <w:rPr>
          <w:rStyle w:val="18"/>
          <w:rFonts w:hint="default" w:ascii="Times New Roman" w:hAnsi="Times New Roman" w:eastAsia="方正仿宋_GBK" w:cs="Times New Roman"/>
          <w:b w:val="0"/>
          <w:bCs/>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208764C"/>
    <w:rsid w:val="13BE561A"/>
    <w:rsid w:val="15392994"/>
    <w:rsid w:val="18FE139B"/>
    <w:rsid w:val="3029612C"/>
    <w:rsid w:val="32A221C5"/>
    <w:rsid w:val="33F20F2A"/>
    <w:rsid w:val="34C44675"/>
    <w:rsid w:val="3B5B5607"/>
    <w:rsid w:val="3CE21B3C"/>
    <w:rsid w:val="4D2606A1"/>
    <w:rsid w:val="51830480"/>
    <w:rsid w:val="53A616BE"/>
    <w:rsid w:val="54662BFB"/>
    <w:rsid w:val="62051CA5"/>
    <w:rsid w:val="648761F0"/>
    <w:rsid w:val="6C3A69EF"/>
    <w:rsid w:val="77D9320A"/>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148</TotalTime>
  <ScaleCrop>false</ScaleCrop>
  <LinksUpToDate>false</LinksUpToDate>
  <CharactersWithSpaces>718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2023-04-19T05:45:40Z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C734C92AAAF24344A0E4232D8EB3359B</vt:lpwstr>
  </property>
</Properties>
</file>